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8E1A46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Butcher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Skulls</w:t>
            </w:r>
            <w:proofErr w:type="spellEnd"/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8E1A4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E1A4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16/04/2019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E1A4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Fuoco dal cielo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E1A4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8E1A4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Valerio Elia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8E1A4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Culi di Pietra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8E1A4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Nani cacciatori di tesori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8E1A4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8E1A46" w:rsidRDefault="008E1A46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24, 1: stupidità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Baztonatore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Skrok</w:t>
            </w:r>
            <w:proofErr w:type="spellEnd"/>
            <w:r>
              <w:t xml:space="preserve"> e </w:t>
            </w:r>
            <w:proofErr w:type="spellStart"/>
            <w:r>
              <w:t>Skrak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5, 5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Knirr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 xml:space="preserve">2 </w:t>
            </w:r>
            <w:proofErr w:type="spellStart"/>
            <w:r>
              <w:t>beztiacce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4, 1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Gnak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 xml:space="preserve">1 </w:t>
            </w:r>
            <w:proofErr w:type="spellStart"/>
            <w:r>
              <w:t>zpakkaclub</w:t>
            </w:r>
            <w:proofErr w:type="spellEnd"/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5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8E1A46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8E1A46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proofErr w:type="spellStart"/>
            <w:r>
              <w:t>Hirri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6,5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9, 1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Gnak</w:t>
            </w:r>
            <w:proofErr w:type="spellEnd"/>
            <w:r>
              <w:t xml:space="preserve"> e </w:t>
            </w:r>
            <w:proofErr w:type="spellStart"/>
            <w:r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proofErr w:type="spellStart"/>
            <w:r>
              <w:t>Knirr</w:t>
            </w:r>
            <w:proofErr w:type="spellEnd"/>
            <w:r>
              <w:t xml:space="preserve"> e Knorr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proofErr w:type="spellStart"/>
            <w:r>
              <w:t>Skrik</w:t>
            </w:r>
            <w:proofErr w:type="spellEnd"/>
            <w:r>
              <w:t xml:space="preserve"> e </w:t>
            </w:r>
            <w:proofErr w:type="spellStart"/>
            <w:r>
              <w:t>Skrok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8E1A4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dello scenario va nel magazzino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8E1A46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E1A46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E1A46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E1A46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8E1A46" w:rsidP="00E469AB">
            <w:pPr>
              <w:jc w:val="center"/>
            </w:pPr>
            <w:r>
              <w:t>10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E1A4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E1A4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E1A4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40CB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340CB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4:</w:t>
      </w:r>
      <w:r w:rsidR="008E1A46">
        <w:t xml:space="preserve"> sbandato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40CB3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proofErr w:type="spellStart"/>
            <w:r>
              <w:t>Beztiaccia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proofErr w:type="spellStart"/>
            <w:r>
              <w:t>Baztonatore</w:t>
            </w:r>
            <w:proofErr w:type="spellEnd"/>
            <w:r>
              <w:t xml:space="preserve"> con 1 </w:t>
            </w:r>
            <w:proofErr w:type="spellStart"/>
            <w:r>
              <w:t>px</w:t>
            </w:r>
            <w:proofErr w:type="spellEnd"/>
            <w:r>
              <w:t xml:space="preserve"> e doppio 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25+2+2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29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proofErr w:type="spellStart"/>
            <w:r>
              <w:t>Skrik</w:t>
            </w:r>
            <w:proofErr w:type="spellEnd"/>
            <w:r>
              <w:t xml:space="preserve"> con </w:t>
            </w:r>
            <w:proofErr w:type="spellStart"/>
            <w:r>
              <w:t>skrak</w:t>
            </w:r>
            <w:proofErr w:type="spellEnd"/>
            <w:r>
              <w:t xml:space="preserve"> e </w:t>
            </w:r>
            <w:proofErr w:type="spellStart"/>
            <w:r>
              <w:t>skrok</w:t>
            </w:r>
            <w:proofErr w:type="spellEnd"/>
            <w:r>
              <w:t xml:space="preserve"> (</w:t>
            </w:r>
            <w:proofErr w:type="spellStart"/>
            <w:r>
              <w:t>goblin</w:t>
            </w:r>
            <w:proofErr w:type="spellEnd"/>
            <w:r>
              <w:t xml:space="preserve"> con un pugnale e 1 </w:t>
            </w:r>
            <w:proofErr w:type="spellStart"/>
            <w:r>
              <w:t>px</w:t>
            </w:r>
            <w:proofErr w:type="spell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340CB3" w:rsidRPr="009D14BD" w:rsidRDefault="00340CB3" w:rsidP="009D14BD">
            <w:pPr>
              <w:spacing w:after="0" w:line="240" w:lineRule="auto"/>
            </w:pPr>
            <w:r>
              <w:t>+15+2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40CB3" w:rsidP="009D14BD">
            <w:pPr>
              <w:spacing w:after="0" w:line="240" w:lineRule="auto"/>
            </w:pPr>
            <w:r>
              <w:t>17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40CB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40CB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40CB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40CB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0CB3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1A46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321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2018-02-12T15:08:00Z</cp:lastPrinted>
  <dcterms:created xsi:type="dcterms:W3CDTF">2018-04-09T09:42:00Z</dcterms:created>
  <dcterms:modified xsi:type="dcterms:W3CDTF">2019-05-18T07:18:00Z</dcterms:modified>
</cp:coreProperties>
</file>